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8"/>
          <w:szCs w:val="48"/>
        </w:rPr>
      </w:pPr>
      <w:r>
        <w:rPr>
          <w:rFonts w:hint="eastAsia"/>
          <w:b/>
          <w:color w:val="000000" w:themeColor="text1"/>
          <w:sz w:val="48"/>
          <w:szCs w:val="48"/>
        </w:rPr>
        <w:t>产品式样书</w:t>
      </w:r>
    </w:p>
    <w:p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>GZW-</w:t>
      </w:r>
      <w:r>
        <w:rPr>
          <w:rFonts w:hint="eastAsia"/>
          <w:b/>
          <w:color w:val="000000" w:themeColor="text1"/>
          <w:sz w:val="40"/>
          <w:szCs w:val="40"/>
          <w:lang w:val="en-US" w:eastAsia="zh-CN"/>
        </w:rPr>
        <w:t>1</w:t>
      </w:r>
      <w:r>
        <w:rPr>
          <w:rFonts w:hint="eastAsia"/>
          <w:b/>
          <w:color w:val="000000" w:themeColor="text1"/>
          <w:sz w:val="40"/>
          <w:szCs w:val="40"/>
        </w:rPr>
        <w:t>9.8K JAPAN</w:t>
      </w:r>
    </w:p>
    <w:p>
      <w:pPr>
        <w:jc w:val="center"/>
        <w:rPr>
          <w:b/>
          <w:sz w:val="36"/>
          <w:szCs w:val="36"/>
        </w:rPr>
      </w:pPr>
      <w:r>
        <w:drawing>
          <wp:inline distT="0" distB="0" distL="114300" distR="114300">
            <wp:extent cx="2571750" cy="7572375"/>
            <wp:effectExtent l="0" t="0" r="0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pict>
          <v:shape id="_x0000_s2050" o:spid="_x0000_s2050" o:spt="202" type="#_x0000_t202" style="position:absolute;left:0pt;margin-left:268.75pt;margin-top:337.8pt;height:85.45pt;width:208.3pt;z-index:251660288;mso-width-relative:margin;mso-height-relative:margin;mso-height-percent:200;" stroked="t" coordsize="21600,21600">
            <v:path/>
            <v:fill focussize="0,0"/>
            <v:stroke weight="0.25pt"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</w:rPr>
                    <w:t>品名：</w:t>
                  </w:r>
                  <w: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  <w:lang w:val="en-US" w:eastAsia="zh-CN"/>
                    </w:rPr>
                    <w:t>1</w:t>
                  </w:r>
                  <w: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</w:rPr>
                    <w:t>9.8K风力发电机</w:t>
                  </w:r>
                </w:p>
                <w:p>
                  <w:pPr>
                    <w:rPr>
                      <w:rFonts w:hint="eastAsia" w:ascii="SimSun" w:hAnsi="SimSun" w:eastAsia="SimSun" w:cs="SimSun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</w:rPr>
                    <w:t>型号：GZW-</w:t>
                  </w:r>
                  <w: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  <w:lang w:val="en-US" w:eastAsia="zh-CN"/>
                    </w:rPr>
                    <w:t>1</w:t>
                  </w:r>
                  <w:r>
                    <w:rPr>
                      <w:rFonts w:hint="eastAsia" w:ascii="SimSun" w:hAnsi="SimSun" w:eastAsia="SimSun" w:cs="SimSun"/>
                      <w:color w:val="000000" w:themeColor="text1"/>
                      <w:sz w:val="30"/>
                      <w:szCs w:val="30"/>
                    </w:rPr>
                    <w:t>9.8K</w:t>
                  </w:r>
                </w:p>
              </w:txbxContent>
            </v:textbox>
          </v:shape>
        </w:pict>
      </w:r>
      <w:r>
        <w:rPr>
          <w:b/>
          <w:sz w:val="36"/>
          <w:szCs w:val="36"/>
        </w:rPr>
        <w:br w:type="page"/>
      </w:r>
    </w:p>
    <w:p>
      <w:pPr>
        <w:pStyle w:val="2"/>
        <w:adjustRightInd w:val="0"/>
        <w:spacing w:before="33" w:line="269" w:lineRule="exact"/>
        <w:ind w:left="0"/>
        <w:rPr>
          <w:rFonts w:asciiTheme="majorEastAsia" w:hAnsiTheme="majorEastAsia" w:eastAsiaTheme="majorEastAsia"/>
          <w:b/>
          <w:color w:val="000000" w:themeColor="text1"/>
          <w:sz w:val="32"/>
          <w:szCs w:val="32"/>
          <w:lang w:eastAsia="zh-CN"/>
        </w:rPr>
      </w:pPr>
    </w:p>
    <w:p>
      <w:pPr>
        <w:pStyle w:val="2"/>
        <w:adjustRightInd w:val="0"/>
        <w:spacing w:before="33" w:line="269" w:lineRule="exact"/>
        <w:ind w:left="0"/>
        <w:rPr>
          <w:rFonts w:asciiTheme="majorEastAsia" w:hAnsiTheme="majorEastAsia" w:eastAsiaTheme="majorEastAsia"/>
          <w:b/>
          <w:color w:val="000000" w:themeColor="text1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2"/>
          <w:szCs w:val="32"/>
          <w:lang w:eastAsia="zh-CN"/>
        </w:rPr>
        <w:t>系统优势</w:t>
      </w:r>
    </w:p>
    <w:p>
      <w:pPr>
        <w:spacing w:line="360" w:lineRule="auto"/>
        <w:rPr>
          <w:rFonts w:hint="eastAsia" w:asciiTheme="majorEastAsia" w:hAnsiTheme="majorEastAsia" w:eastAsiaTheme="majorEastAsia"/>
          <w:b/>
        </w:rPr>
      </w:pP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1．主动变桨距技术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fldChar w:fldCharType="begin"/>
      </w:r>
      <w:r>
        <w:rPr>
          <w:rFonts w:hint="eastAsia" w:asciiTheme="majorEastAsia" w:hAnsiTheme="majorEastAsia" w:eastAsiaTheme="majorEastAsia"/>
        </w:rPr>
        <w:instrText xml:space="preserve">= 1 \* GB3</w:instrText>
      </w:r>
      <w:r>
        <w:rPr>
          <w:rFonts w:hint="eastAsia" w:asciiTheme="majorEastAsia" w:hAnsiTheme="majorEastAsia" w:eastAsiaTheme="majorEastAsia"/>
        </w:rPr>
        <w:fldChar w:fldCharType="separate"/>
      </w:r>
      <w:r>
        <w:rPr>
          <w:rFonts w:hint="eastAsia" w:asciiTheme="majorEastAsia" w:hAnsiTheme="majorEastAsia" w:eastAsiaTheme="majorEastAsia"/>
        </w:rPr>
        <w:t>①</w:t>
      </w:r>
      <w:r>
        <w:rPr>
          <w:rFonts w:hint="eastAsia"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变桨控制系统能有效吸收风速波动对变桨系统的冲击，精准调控，故障率低。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fldChar w:fldCharType="begin"/>
      </w:r>
      <w:r>
        <w:rPr>
          <w:rFonts w:hint="eastAsia" w:asciiTheme="majorEastAsia" w:hAnsiTheme="majorEastAsia" w:eastAsiaTheme="majorEastAsia"/>
        </w:rPr>
        <w:instrText xml:space="preserve">= 2 \* GB3</w:instrText>
      </w:r>
      <w:r>
        <w:rPr>
          <w:rFonts w:hint="eastAsia" w:asciiTheme="majorEastAsia" w:hAnsiTheme="majorEastAsia" w:eastAsiaTheme="majorEastAsia"/>
        </w:rPr>
        <w:fldChar w:fldCharType="separate"/>
      </w:r>
      <w:r>
        <w:rPr>
          <w:rFonts w:hint="eastAsia" w:asciiTheme="majorEastAsia" w:hAnsiTheme="majorEastAsia" w:eastAsiaTheme="majorEastAsia"/>
        </w:rPr>
        <w:t>②</w:t>
      </w:r>
      <w:r>
        <w:rPr>
          <w:rFonts w:hint="eastAsia"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低风速启动：自动调节最佳启动角度，风速3m/s即可启动，启动后具有加速功能。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fldChar w:fldCharType="begin"/>
      </w:r>
      <w:r>
        <w:rPr>
          <w:rFonts w:hint="eastAsia" w:asciiTheme="majorEastAsia" w:hAnsiTheme="majorEastAsia" w:eastAsiaTheme="majorEastAsia"/>
        </w:rPr>
        <w:instrText xml:space="preserve">= 3 \* GB3</w:instrText>
      </w:r>
      <w:r>
        <w:rPr>
          <w:rFonts w:hint="eastAsia" w:asciiTheme="majorEastAsia" w:hAnsiTheme="majorEastAsia" w:eastAsiaTheme="majorEastAsia"/>
        </w:rPr>
        <w:fldChar w:fldCharType="separate"/>
      </w:r>
      <w:r>
        <w:rPr>
          <w:rFonts w:hint="eastAsia" w:asciiTheme="majorEastAsia" w:hAnsiTheme="majorEastAsia" w:eastAsiaTheme="majorEastAsia"/>
        </w:rPr>
        <w:t>③</w:t>
      </w:r>
      <w:r>
        <w:rPr>
          <w:rFonts w:hint="eastAsia"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超风速稳定运行：高于额定风速的情况下，系统仍能保持持续稳定额定功率输出，无需停机保护。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2.永磁发电机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发电机采用自主设计的稀土永磁直驱式发电机，无增速箱和传动轴部件，能量损失小、启动风速低，</w:t>
      </w:r>
      <w:r>
        <w:rPr>
          <w:rFonts w:hint="eastAsia" w:asciiTheme="majorEastAsia" w:hAnsiTheme="majorEastAsia" w:eastAsiaTheme="majorEastAsia"/>
          <w:highlight w:val="none"/>
        </w:rPr>
        <w:t>避免了增速箱与主轴之</w:t>
      </w:r>
      <w:r>
        <w:rPr>
          <w:rFonts w:hint="eastAsia" w:asciiTheme="majorEastAsia" w:hAnsiTheme="majorEastAsia" w:eastAsiaTheme="majorEastAsia"/>
          <w:color w:val="auto"/>
          <w:highlight w:val="none"/>
        </w:rPr>
        <w:t>间</w:t>
      </w:r>
      <w:r>
        <w:rPr>
          <w:rFonts w:hint="eastAsia" w:asciiTheme="majorEastAsia" w:hAnsiTheme="majorEastAsia" w:eastAsiaTheme="majorEastAsia"/>
          <w:color w:val="auto"/>
          <w:highlight w:val="none"/>
          <w:lang w:val="en-US" w:eastAsia="zh-CN"/>
        </w:rPr>
        <w:t>产生振动</w:t>
      </w:r>
      <w:r>
        <w:rPr>
          <w:rFonts w:hint="eastAsia" w:asciiTheme="majorEastAsia" w:hAnsiTheme="majorEastAsia" w:eastAsiaTheme="majorEastAsia"/>
          <w:color w:val="auto"/>
          <w:highlight w:val="none"/>
        </w:rPr>
        <w:t>现</w:t>
      </w:r>
      <w:r>
        <w:rPr>
          <w:rFonts w:hint="eastAsia" w:asciiTheme="majorEastAsia" w:hAnsiTheme="majorEastAsia" w:eastAsiaTheme="majorEastAsia"/>
          <w:highlight w:val="none"/>
        </w:rPr>
        <w:t>象。</w:t>
      </w:r>
      <w:r>
        <w:rPr>
          <w:rFonts w:hint="eastAsia" w:asciiTheme="majorEastAsia" w:hAnsiTheme="majorEastAsia" w:eastAsiaTheme="majorEastAsia"/>
        </w:rPr>
        <w:t>机械故障率低，提高了机组效率、年发电量和可靠性。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3.高性能叶片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fldChar w:fldCharType="begin"/>
      </w:r>
      <w:r>
        <w:rPr>
          <w:rFonts w:hint="eastAsia" w:asciiTheme="majorEastAsia" w:hAnsiTheme="majorEastAsia" w:eastAsiaTheme="majorEastAsia"/>
        </w:rPr>
        <w:instrText xml:space="preserve">= 1 \* GB3</w:instrText>
      </w:r>
      <w:r>
        <w:rPr>
          <w:rFonts w:hint="eastAsia" w:asciiTheme="majorEastAsia" w:hAnsiTheme="majorEastAsia" w:eastAsiaTheme="majorEastAsia"/>
        </w:rPr>
        <w:fldChar w:fldCharType="separate"/>
      </w:r>
      <w:r>
        <w:rPr>
          <w:rFonts w:hint="eastAsia" w:asciiTheme="majorEastAsia" w:hAnsiTheme="majorEastAsia" w:eastAsiaTheme="majorEastAsia"/>
        </w:rPr>
        <w:t>①</w:t>
      </w:r>
      <w:r>
        <w:rPr>
          <w:rFonts w:hint="eastAsia"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叶片的翼型经过空气动力学仿真设计，风能利用率高、噪音低。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fldChar w:fldCharType="begin"/>
      </w:r>
      <w:r>
        <w:rPr>
          <w:rFonts w:hint="eastAsia" w:asciiTheme="majorEastAsia" w:hAnsiTheme="majorEastAsia" w:eastAsiaTheme="majorEastAsia"/>
        </w:rPr>
        <w:instrText xml:space="preserve">= 2 \* GB3</w:instrText>
      </w:r>
      <w:r>
        <w:rPr>
          <w:rFonts w:hint="eastAsia" w:asciiTheme="majorEastAsia" w:hAnsiTheme="majorEastAsia" w:eastAsiaTheme="majorEastAsia"/>
        </w:rPr>
        <w:fldChar w:fldCharType="separate"/>
      </w:r>
      <w:r>
        <w:rPr>
          <w:rFonts w:hint="eastAsia" w:asciiTheme="majorEastAsia" w:hAnsiTheme="majorEastAsia" w:eastAsiaTheme="majorEastAsia"/>
        </w:rPr>
        <w:t>②</w:t>
      </w:r>
      <w:r>
        <w:rPr>
          <w:rFonts w:hint="eastAsia"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采用增强型玻璃钢材质，确保叶片的高强度。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4.先进的控制系统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控制系统完全自主研发。可自动检测环境风速、风向、发电机转速、设备温度、系统直流输出电压、电网电压、绞缆状态等参数。硬件设计选用国际一流厂家的电气元件，运行稳定，抗干扰能力强。系统可扩展性强，具有良好的兼容性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5.安全保护系统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具有智能变桨，主动偏航，</w:t>
      </w:r>
      <w:r>
        <w:rPr>
          <w:rFonts w:hint="eastAsia" w:asciiTheme="majorEastAsia" w:hAnsiTheme="majorEastAsia" w:eastAsiaTheme="majorEastAsia"/>
          <w:b w:val="0"/>
          <w:bCs w:val="0"/>
          <w:color w:val="000000" w:themeColor="text1"/>
          <w:highlight w:val="none"/>
        </w:rPr>
        <w:t>电磁</w:t>
      </w:r>
      <w:r>
        <w:rPr>
          <w:rFonts w:hint="eastAsia" w:asciiTheme="majorEastAsia" w:hAnsiTheme="majorEastAsia" w:eastAsiaTheme="majorEastAsia"/>
          <w:color w:val="000000" w:themeColor="text1"/>
          <w:highlight w:val="none"/>
        </w:rPr>
        <w:t>刹车等</w:t>
      </w:r>
      <w:r>
        <w:rPr>
          <w:rFonts w:hint="eastAsia" w:asciiTheme="majorEastAsia" w:hAnsiTheme="majorEastAsia" w:eastAsiaTheme="majorEastAsia"/>
        </w:rPr>
        <w:t>多重系统保护措施。软件采用冗余式控制策略，自动控制风机变桨、偏航、稳压及卸荷。</w:t>
      </w:r>
      <w:r>
        <w:rPr>
          <w:rFonts w:hint="eastAsia" w:asciiTheme="majorEastAsia" w:hAnsiTheme="majorEastAsia" w:eastAsiaTheme="majorEastAsia"/>
          <w:lang w:val="en-US" w:eastAsia="zh-CN"/>
        </w:rPr>
        <w:t>配备了</w:t>
      </w:r>
      <w:r>
        <w:rPr>
          <w:rFonts w:hint="eastAsia" w:asciiTheme="majorEastAsia" w:hAnsiTheme="majorEastAsia" w:eastAsiaTheme="majorEastAsia"/>
        </w:rPr>
        <w:t>备用电源系统，确保了电网故障时安全保护系统仍可正常工作；同时系统配备手动急停按钮，可实现紧急情况下手动停机，确保风电系统安全可靠运行。</w:t>
      </w:r>
    </w:p>
    <w:p>
      <w:pPr>
        <w:spacing w:line="360" w:lineRule="auto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6.</w:t>
      </w:r>
      <w:r>
        <w:rPr>
          <w:rFonts w:asciiTheme="majorEastAsia" w:hAnsiTheme="majorEastAsia" w:eastAsiaTheme="majorEastAsia"/>
          <w:b/>
        </w:rPr>
        <w:t xml:space="preserve"> 对环境的影响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优化的低速永磁发电机技术和叶片良好的空气动力特性，将风力发电机组的噪音水平降到最低限制。</w:t>
      </w:r>
    </w:p>
    <w:p>
      <w:pPr>
        <w:rPr>
          <w:rFonts w:hint="eastAsia" w:cs="SimHei" w:asciiTheme="majorEastAsia" w:hAnsiTheme="majorEastAsia" w:eastAsiaTheme="majorEastAsia"/>
          <w:b/>
          <w:kern w:val="0"/>
          <w:sz w:val="22"/>
        </w:rPr>
      </w:pPr>
    </w:p>
    <w:p>
      <w:pPr>
        <w:rPr>
          <w:rFonts w:hint="eastAsia" w:cs="SimHei" w:asciiTheme="majorEastAsia" w:hAnsiTheme="majorEastAsia" w:eastAsiaTheme="majorEastAsia"/>
          <w:b/>
          <w:kern w:val="0"/>
          <w:sz w:val="22"/>
        </w:rPr>
      </w:pPr>
    </w:p>
    <w:p>
      <w:pPr>
        <w:rPr>
          <w:rFonts w:hint="eastAsia" w:cs="SimHei" w:asciiTheme="majorEastAsia" w:hAnsiTheme="majorEastAsia" w:eastAsiaTheme="majorEastAsia"/>
          <w:b/>
          <w:kern w:val="0"/>
          <w:sz w:val="22"/>
        </w:rPr>
      </w:pPr>
    </w:p>
    <w:p>
      <w:pPr>
        <w:rPr>
          <w:rFonts w:hint="eastAsia" w:cs="SimHei" w:asciiTheme="majorEastAsia" w:hAnsiTheme="majorEastAsia" w:eastAsiaTheme="majorEastAsia"/>
          <w:b/>
          <w:kern w:val="0"/>
          <w:sz w:val="22"/>
        </w:rPr>
      </w:pPr>
    </w:p>
    <w:p>
      <w:pPr>
        <w:rPr>
          <w:rFonts w:hint="eastAsia" w:cs="SimHei" w:asciiTheme="majorEastAsia" w:hAnsiTheme="majorEastAsia" w:eastAsiaTheme="majorEastAsia"/>
          <w:b/>
          <w:kern w:val="0"/>
          <w:sz w:val="22"/>
        </w:rPr>
      </w:pPr>
    </w:p>
    <w:p>
      <w:pPr>
        <w:rPr>
          <w:rFonts w:hint="eastAsia"/>
          <w:b/>
          <w:color w:val="000000" w:themeColor="text1"/>
          <w:sz w:val="32"/>
          <w:szCs w:val="32"/>
          <w:lang w:val="en-US" w:eastAsia="zh-CN"/>
        </w:rPr>
      </w:pPr>
      <w:r>
        <w:rPr>
          <w:rFonts w:hint="eastAsia"/>
          <w:b/>
          <w:color w:val="000000" w:themeColor="text1"/>
          <w:sz w:val="32"/>
          <w:szCs w:val="32"/>
          <w:lang w:val="en-US" w:eastAsia="zh-CN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>发电曲线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</w:rPr>
        <w:t>图</w:t>
      </w:r>
    </w:p>
    <w:p>
      <w:pPr>
        <w:rPr>
          <w:rFonts w:hint="eastAsia"/>
          <w:b/>
          <w:color w:val="000000" w:themeColor="text1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184140" cy="2827655"/>
            <wp:effectExtent l="4445" t="4445" r="12065" b="4445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right="368" w:rightChars="175"/>
        <w:jc w:val="both"/>
      </w:pPr>
    </w:p>
    <w:p>
      <w:pPr>
        <w:rPr>
          <w:b/>
          <w:color w:val="auto"/>
          <w:sz w:val="32"/>
          <w:szCs w:val="32"/>
        </w:rPr>
      </w:pPr>
      <w:r>
        <w:rPr>
          <w:color w:val="auto"/>
          <w:sz w:val="32"/>
        </w:rPr>
        <w:pict>
          <v:shape id="文本框 9" o:spid="_x0000_s2052" o:spt="202" type="#_x0000_t202" style="position:absolute;left:0pt;margin-left:330.3pt;margin-top:18.15pt;height:24.75pt;width:101.15pt;z-index:251661312;mso-width-relative:page;mso-height-relative:page;" filled="f" stroked="f" coordsize="21600,21600" o:gfxdata="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olc79oAAAAJAQAADwAAAAAAAAABACAAAAAiAAAAZHJzL2Rvd25yZXYu&#10;eG1sUEsBAhQAFAAAAAgAh07iQFAOGeQyAgAAMwQAAA4AAAAAAAAAAQAgAAAAKQEAAGRycy9lMm9E&#10;b2MueG1sUEsFBgAAAAAGAAYAWQEAAM0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FIT价格：</w:t>
                  </w:r>
                  <w:r>
                    <w:rPr>
                      <w:rFonts w:hint="eastAsia"/>
                      <w:sz w:val="18"/>
                      <w:szCs w:val="18"/>
                    </w:rPr>
                    <w:t>18日元/kWh</w:t>
                  </w:r>
                </w:p>
              </w:txbxContent>
            </v:textbox>
          </v:shape>
        </w:pict>
      </w:r>
      <w:r>
        <w:rPr>
          <w:rFonts w:hint="eastAsia"/>
          <w:b/>
          <w:color w:val="auto"/>
          <w:sz w:val="32"/>
          <w:szCs w:val="32"/>
        </w:rPr>
        <w:t>年发电收益</w:t>
      </w:r>
    </w:p>
    <w:tbl>
      <w:tblPr>
        <w:tblStyle w:val="7"/>
        <w:tblpPr w:leftFromText="180" w:rightFromText="180" w:vertAnchor="text" w:horzAnchor="page" w:tblpXSpec="center" w:tblpY="273"/>
        <w:tblOverlap w:val="never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2813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812" w:type="dxa"/>
            <w:shd w:val="clear" w:color="auto" w:fill="C0C0C0"/>
          </w:tcPr>
          <w:p>
            <w:pPr>
              <w:spacing w:line="360" w:lineRule="auto"/>
              <w:jc w:val="center"/>
              <w:rPr>
                <w:rFonts w:ascii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  <w:lang w:val="en-US" w:eastAsia="zh-CN"/>
              </w:rPr>
              <w:t>年平均风速</w:t>
            </w: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</w:rPr>
              <w:t>(m/s)</w:t>
            </w:r>
          </w:p>
        </w:tc>
        <w:tc>
          <w:tcPr>
            <w:tcW w:w="2813" w:type="dxa"/>
            <w:shd w:val="clear" w:color="auto" w:fill="C0C0C0"/>
          </w:tcPr>
          <w:p>
            <w:pPr>
              <w:spacing w:line="360" w:lineRule="auto"/>
              <w:jc w:val="center"/>
              <w:rPr>
                <w:rFonts w:ascii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  <w:lang w:val="en-US" w:eastAsia="zh-CN"/>
              </w:rPr>
              <w:t>年发电量</w:t>
            </w: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</w:rPr>
              <w:t>(</w:t>
            </w:r>
            <w:r>
              <w:rPr>
                <w:rFonts w:hint="eastAsia" w:ascii="ＭＳ Ｐ明朝" w:hAnsi="ＭＳ Ｐ明朝" w:eastAsia="ＭＳ Ｐ明朝" w:cs="ＭＳ Ｐ明朝"/>
                <w:b/>
                <w:kern w:val="0"/>
                <w:sz w:val="24"/>
                <w:szCs w:val="24"/>
              </w:rPr>
              <w:t>kWh</w:t>
            </w: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813" w:type="dxa"/>
            <w:shd w:val="clear" w:color="auto" w:fill="C0C0C0"/>
          </w:tcPr>
          <w:p>
            <w:pPr>
              <w:spacing w:line="360" w:lineRule="auto"/>
              <w:jc w:val="center"/>
              <w:rPr>
                <w:rFonts w:ascii="SimSun" w:hAnsi="SimSun" w:cs="SimSun"/>
                <w:b/>
                <w:kern w:val="0"/>
                <w:sz w:val="26"/>
                <w:szCs w:val="26"/>
              </w:rPr>
            </w:pP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  <w:lang w:val="en-US" w:eastAsia="zh-CN"/>
              </w:rPr>
              <w:t>年发电金额</w:t>
            </w: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</w:rPr>
              <w:t>(</w:t>
            </w: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  <w:lang w:val="en-US" w:eastAsia="zh-CN"/>
              </w:rPr>
              <w:t>日元</w:t>
            </w:r>
            <w:r>
              <w:rPr>
                <w:rFonts w:hint="eastAsia" w:ascii="ＭＳ Ｐ明朝" w:hAnsi="ＭＳ Ｐ明朝" w:cs="ＭＳ Ｐ明朝"/>
                <w:b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ascii="SimSun" w:hAnsi="SimSun" w:eastAsia="SimSun" w:cs="SimSun"/>
                <w:b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4.0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38,200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687,600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SimSun" w:hAnsi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4.5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46,100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829,800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ascii="SimSun" w:hAnsi="SimSun" w:eastAsia="SimSun" w:cs="SimSun"/>
                <w:b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5.0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54,500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981,000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SimSun" w:hAnsi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5.5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65,000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1,170,000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ascii="SimSun" w:hAnsi="SimSun" w:eastAsia="SimSun" w:cs="SimSun"/>
                <w:b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6.0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75,200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1,353,600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SimSun" w:hAnsi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6.5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86,700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1,560,600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ascii="SimSun" w:hAnsi="SimSun" w:eastAsia="SimSun" w:cs="SimSun"/>
                <w:b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7.0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98,100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1,765,800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SimSun" w:hAnsi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7.5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110,500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1,989,000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812" w:type="dxa"/>
            <w:vAlign w:val="top"/>
          </w:tcPr>
          <w:p>
            <w:pPr>
              <w:spacing w:line="360" w:lineRule="auto"/>
              <w:jc w:val="center"/>
              <w:rPr>
                <w:rFonts w:ascii="SimSun" w:hAnsi="SimSun" w:eastAsia="SimSun" w:cs="SimSun"/>
                <w:b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color w:val="000000" w:themeColor="text1"/>
                <w:kern w:val="0"/>
                <w:sz w:val="24"/>
                <w:szCs w:val="24"/>
              </w:rPr>
              <w:t>8.0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123,900 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imSun" w:hAnsi="SimSun" w:eastAsia="SimSun" w:cs="SimSun"/>
                <w:kern w:val="0"/>
                <w:sz w:val="26"/>
                <w:szCs w:val="26"/>
              </w:rPr>
            </w:pPr>
            <w:r>
              <w:rPr>
                <w:rFonts w:hint="default" w:ascii="Arial" w:hAnsi="Arial" w:eastAsia="SimHei" w:cs="Arial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2,230,200 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规格表</w:t>
      </w:r>
    </w:p>
    <w:p/>
    <w:tbl>
      <w:tblPr>
        <w:tblStyle w:val="7"/>
        <w:tblpPr w:leftFromText="180" w:rightFromText="180" w:vertAnchor="page" w:horzAnchor="margin" w:tblpY="2505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制造者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ascii="SimHei" w:hAnsi="SimHei" w:eastAsia="SimHei" w:cs="SimHei"/>
                <w:kern w:val="0"/>
                <w:sz w:val="22"/>
                <w:szCs w:val="22"/>
              </w:rPr>
              <w:t>扬州冠中电力设备有限公司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制造国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ascii="SimHei" w:hAnsi="SimHei" w:eastAsia="SimHei" w:cs="SimHei"/>
                <w:kern w:val="0"/>
                <w:sz w:val="22"/>
                <w:szCs w:val="22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轴方式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水平軸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 xml:space="preserve">系统连接形式 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系统互连型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运行温度范围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～ 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相对湿度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4 ～ 95%RH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转子方向（逆风/顺风）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逆风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叶轮旋转方向（顺时针/逆时针）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顺时针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桨叶数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3片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桨叶材料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增强型玻璃纤维树脂</w:t>
            </w:r>
            <w:r>
              <w:rPr>
                <w:rFonts w:hint="eastAsia" w:ascii="SimSun" w:hAnsi="SimSu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GFRP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桨叶长度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.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叶轮直径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color w:val="000000" w:themeColor="text1"/>
                <w:kern w:val="0"/>
                <w:position w:val="1"/>
                <w:sz w:val="22"/>
                <w:szCs w:val="22"/>
                <w:lang w:val="en-US" w:eastAsia="zh-CN"/>
              </w:rPr>
              <w:t>13.29</w:t>
            </w:r>
            <w:r>
              <w:rPr>
                <w:rFonts w:hint="eastAsia" w:ascii="SimHei" w:hAnsi="SimHei" w:eastAsia="SimHei" w:cs="SimHei"/>
                <w:color w:val="000000" w:themeColor="text1"/>
                <w:kern w:val="0"/>
                <w:position w:val="1"/>
                <w:sz w:val="22"/>
                <w:szCs w:val="22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叶轮受风面积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color w:val="000000" w:themeColor="text1"/>
                <w:kern w:val="0"/>
                <w:position w:val="-5"/>
                <w:sz w:val="22"/>
                <w:szCs w:val="22"/>
                <w:lang w:val="en-US" w:eastAsia="zh-CN"/>
              </w:rPr>
              <w:t>138.76</w:t>
            </w:r>
            <w:r>
              <w:rPr>
                <w:rFonts w:hint="eastAsia" w:ascii="SimHei" w:hAnsi="SimHei" w:eastAsia="SimHei" w:cs="SimHei"/>
                <w:color w:val="000000" w:themeColor="text1"/>
                <w:kern w:val="0"/>
                <w:position w:val="-5"/>
                <w:sz w:val="22"/>
                <w:szCs w:val="2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塔高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SimHei" w:hAnsi="SimHei" w:eastAsia="SimHei" w:cs="SimHei"/>
                <w:color w:val="000000" w:themeColor="text1"/>
                <w:kern w:val="0"/>
                <w:position w:val="-5"/>
                <w:sz w:val="22"/>
                <w:szCs w:val="22"/>
                <w:lang w:eastAsia="zh-CN"/>
              </w:rPr>
            </w:pPr>
            <w:r>
              <w:rPr>
                <w:rFonts w:hint="eastAsia" w:ascii="SimHei" w:hAnsi="SimHei" w:eastAsia="SimHei" w:cs="SimHei"/>
                <w:color w:val="000000" w:themeColor="text1"/>
                <w:kern w:val="0"/>
                <w:position w:val="-5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SimHei" w:hAnsi="SimHei" w:eastAsia="SimHei" w:cs="SimHei"/>
                <w:color w:val="000000" w:themeColor="text1"/>
                <w:kern w:val="0"/>
                <w:position w:val="-5"/>
                <w:sz w:val="22"/>
                <w:szCs w:val="22"/>
              </w:rPr>
              <w:t>m</w:t>
            </w:r>
            <w:r>
              <w:rPr>
                <w:rFonts w:hint="eastAsia" w:ascii="SimHei" w:hAnsi="SimHei" w:eastAsia="SimHei" w:cs="SimHei"/>
                <w:kern w:val="0"/>
                <w:position w:val="-5"/>
                <w:sz w:val="22"/>
              </w:rPr>
              <w:t>(轮毂中心高度)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切入风速</w:t>
            </w:r>
          </w:p>
        </w:tc>
        <w:tc>
          <w:tcPr>
            <w:tcW w:w="4395" w:type="dxa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3m/s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切出风速</w:t>
            </w:r>
          </w:p>
        </w:tc>
        <w:tc>
          <w:tcPr>
            <w:tcW w:w="4395" w:type="dxa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25m/s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安全风速</w:t>
            </w:r>
          </w:p>
        </w:tc>
        <w:tc>
          <w:tcPr>
            <w:tcW w:w="4395" w:type="dxa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50m/s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额定风速</w:t>
            </w:r>
          </w:p>
        </w:tc>
        <w:tc>
          <w:tcPr>
            <w:tcW w:w="4395" w:type="dxa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转数范围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 xml:space="preserve">0 ～ 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0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color w:val="000000" w:themeColor="text1"/>
                <w:kern w:val="0"/>
                <w:sz w:val="22"/>
                <w:szCs w:val="22"/>
              </w:rPr>
              <w:t>额定转速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0r/min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发电机形式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永磁直驱发电机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风机额定输出（风速9米/秒）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9.8kW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控制装置型式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0"/>
              </w:rPr>
              <w:t>LWC-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eastAsia" w:ascii="SimHei" w:hAnsi="SimHei" w:eastAsia="SimHei" w:cs="SimHei"/>
                <w:kern w:val="0"/>
                <w:sz w:val="22"/>
                <w:szCs w:val="20"/>
              </w:rPr>
              <w:t>9.8KG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输出控制方式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主动变桨距控制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偏航控制方式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主动偏航控制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机械的保护功能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</w:rPr>
              <w:t>主动变桨距控制</w:t>
            </w:r>
          </w:p>
          <w:p>
            <w:pPr>
              <w:jc w:val="center"/>
              <w:rPr>
                <w:rFonts w:ascii="SimHei" w:hAnsi="SimHei" w:eastAsia="SimHei" w:cs="SimHei"/>
                <w:kern w:val="0"/>
                <w:sz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</w:rPr>
              <w:t>主动偏航控制</w:t>
            </w:r>
          </w:p>
          <w:p>
            <w:pPr>
              <w:jc w:val="center"/>
            </w:pPr>
            <w:r>
              <w:rPr>
                <w:rFonts w:hint="eastAsia" w:ascii="SimHei" w:hAnsi="SimHei" w:eastAsia="SimHei" w:cs="SimHei"/>
                <w:kern w:val="0"/>
                <w:sz w:val="22"/>
              </w:rPr>
              <w:t>电磁制动（电阻负荷制动器）</w:t>
            </w:r>
          </w:p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</w:rPr>
              <w:t>主轴制动器（盘式电磁制动器）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自动停止手段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主动变桨距控制</w:t>
            </w:r>
          </w:p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主动偏航控制</w:t>
            </w:r>
          </w:p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主轴制动器</w:t>
            </w:r>
            <w:r>
              <w:rPr>
                <w:rFonts w:hint="eastAsia" w:ascii="SimHei" w:hAnsi="SimHei" w:eastAsia="SimHei" w:cs="SimHei"/>
                <w:kern w:val="0"/>
                <w:sz w:val="22"/>
              </w:rPr>
              <w:t>（盘式电磁制动器）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hint="default" w:ascii="SimHei" w:hAnsi="SimHei" w:eastAsia="SimHei" w:cs="SimHe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制动方式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default" w:ascii="SimHei" w:hAnsi="SimHei" w:eastAsia="SimHei" w:cs="SimHe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lang w:val="en-US" w:eastAsia="zh-CN"/>
              </w:rPr>
              <w:t>主轴制动刹车</w:t>
            </w:r>
            <w:r>
              <w:rPr>
                <w:rFonts w:hint="eastAsia" w:ascii="SimHei" w:hAnsi="SimHei" w:eastAsia="SimHei" w:cs="SimHei"/>
                <w:kern w:val="0"/>
                <w:sz w:val="22"/>
                <w:lang w:val="en-US" w:eastAsia="zh-CN"/>
              </w:rPr>
              <w:t>（盘式</w:t>
            </w:r>
            <w:r>
              <w:rPr>
                <w:rFonts w:hint="eastAsia" w:ascii="SimHei" w:hAnsi="SimHei" w:eastAsia="SimHei" w:cs="SimHei"/>
                <w:kern w:val="0"/>
                <w:sz w:val="22"/>
              </w:rPr>
              <w:t>电磁制动刹车</w:t>
            </w:r>
            <w:r>
              <w:rPr>
                <w:rFonts w:hint="eastAsia" w:ascii="SimHei" w:hAnsi="SimHei" w:eastAsia="SimHei" w:cs="SimHei"/>
                <w:kern w:val="0"/>
                <w:sz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标准年间发电量（年平均风速7米/秒）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98,100kWh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噪音水平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  <w:highlight w:val="none"/>
              </w:rPr>
              <w:t>≤ 60dbA</w:t>
            </w:r>
            <w:r>
              <w:rPr>
                <w:rFonts w:hint="eastAsia" w:ascii="SimHei" w:hAnsi="SimHei" w:eastAsia="SimHei" w:cs="SimHei"/>
                <w:kern w:val="0"/>
                <w:sz w:val="22"/>
                <w:highlight w:val="none"/>
              </w:rPr>
              <w:t>（2</w:t>
            </w:r>
            <w:r>
              <w:rPr>
                <w:rFonts w:hint="eastAsia" w:ascii="SimHei" w:hAnsi="SimHei" w:eastAsia="SimHei" w:cs="SimHei"/>
                <w:kern w:val="0"/>
                <w:sz w:val="22"/>
              </w:rPr>
              <w:t>5m处）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7" w:type="dxa"/>
            <w:vAlign w:val="center"/>
          </w:tcPr>
          <w:p>
            <w:pPr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产品寿命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SimHei" w:hAnsi="SimHei" w:eastAsia="SimHei" w:cs="SimHei"/>
                <w:kern w:val="0"/>
                <w:sz w:val="22"/>
                <w:szCs w:val="22"/>
              </w:rPr>
            </w:pPr>
            <w:r>
              <w:rPr>
                <w:rFonts w:hint="eastAsia" w:ascii="SimHei" w:hAnsi="SimHei" w:eastAsia="SimHei" w:cs="SimHei"/>
                <w:kern w:val="0"/>
                <w:sz w:val="22"/>
                <w:szCs w:val="22"/>
              </w:rPr>
              <w:t>20年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rPr>
          <w:rFonts w:hint="eastAsia"/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产品尺寸</w:t>
      </w:r>
      <w:r>
        <w:rPr>
          <w:rFonts w:hint="eastAsia"/>
          <w:b/>
          <w:color w:val="auto"/>
          <w:sz w:val="32"/>
          <w:szCs w:val="32"/>
        </w:rPr>
        <w:t>（示意图）</w:t>
      </w:r>
    </w:p>
    <w:p>
      <w:pPr>
        <w:rPr>
          <w:rFonts w:hint="eastAsia"/>
          <w:b/>
          <w:color w:val="auto"/>
          <w:sz w:val="32"/>
          <w:szCs w:val="32"/>
        </w:rPr>
      </w:pPr>
      <w:r>
        <w:drawing>
          <wp:inline distT="0" distB="0" distL="114300" distR="114300">
            <wp:extent cx="5269865" cy="5449570"/>
            <wp:effectExtent l="0" t="0" r="6985" b="177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2"/>
          <w:szCs w:val="32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ind w:right="320"/>
        <w:jc w:val="left"/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备注：1. 以上图示中的产品外观仅供参考；</w:t>
      </w:r>
    </w:p>
    <w:p>
      <w:pPr>
        <w:ind w:right="320"/>
        <w:jc w:val="left"/>
        <w:rPr>
          <w:rFonts w:hint="eastAsia" w:ascii="SimSun" w:hAnsi="SimSun" w:eastAsia="SimSun" w:cs="SimSu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    </w:t>
      </w:r>
      <w:r>
        <w:rPr>
          <w:rFonts w:hint="eastAsia" w:ascii="SimSun" w:hAnsi="SimSun" w:eastAsia="SimSun" w:cs="SimSun"/>
          <w:color w:val="auto"/>
          <w:sz w:val="18"/>
          <w:szCs w:val="18"/>
        </w:rPr>
        <w:t xml:space="preserve">  2. 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1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9.8kW系列产品包含：GZW-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1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9.0K、GZW-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1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9.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2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K、GZW-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1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9.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5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K、GZW-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1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9.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7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K、GZW-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1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9.</w:t>
      </w:r>
      <w:r>
        <w:rPr>
          <w:rFonts w:hint="eastAsia" w:ascii="SimSun" w:hAnsi="SimSun" w:eastAsia="SimSun" w:cs="SimSun"/>
          <w:color w:val="auto"/>
          <w:sz w:val="18"/>
          <w:szCs w:val="18"/>
          <w:lang w:val="en-US" w:eastAsia="zh-CN"/>
        </w:rPr>
        <w:t>8</w:t>
      </w:r>
      <w:r>
        <w:rPr>
          <w:rFonts w:hint="eastAsia" w:ascii="SimSun" w:hAnsi="SimSun" w:eastAsia="SimSun" w:cs="SimSun"/>
          <w:color w:val="auto"/>
          <w:sz w:val="18"/>
          <w:szCs w:val="18"/>
        </w:rPr>
        <w:t>K款。</w:t>
      </w:r>
    </w:p>
    <w:p>
      <w:pPr>
        <w:ind w:right="320"/>
        <w:jc w:val="left"/>
        <w:rPr>
          <w:rFonts w:hint="eastAsia"/>
          <w:color w:val="FF0000"/>
          <w:sz w:val="18"/>
          <w:szCs w:val="18"/>
        </w:rPr>
      </w:pPr>
    </w:p>
    <w:p>
      <w:pPr>
        <w:ind w:right="84"/>
        <w:jc w:val="left"/>
        <w:rPr>
          <w:rFonts w:hint="eastAsia"/>
          <w:color w:val="FF0000"/>
          <w:sz w:val="18"/>
          <w:szCs w:val="18"/>
        </w:rPr>
      </w:pPr>
    </w:p>
    <w:p>
      <w:pPr>
        <w:ind w:right="320"/>
        <w:jc w:val="left"/>
        <w:rPr>
          <w:rFonts w:hint="eastAsia"/>
          <w:color w:val="FF0000"/>
          <w:sz w:val="18"/>
          <w:szCs w:val="18"/>
        </w:rPr>
      </w:pPr>
    </w:p>
    <w:p>
      <w:pPr>
        <w:ind w:right="-58"/>
        <w:rPr>
          <w:color w:val="FF0000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"/>
    <w:pitch w:val="default"/>
    <w:sig w:usb0="E0002EFF" w:usb1="C000785B" w:usb2="00000009" w:usb3="00000000" w:csb0="400001FF" w:csb1="FFFF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扬州冠中电力设备有限公司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b/>
        <w:sz w:val="32"/>
        <w:szCs w:val="32"/>
      </w:rPr>
    </w:pPr>
    <w:r>
      <w:rPr>
        <w:b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3783330</wp:posOffset>
          </wp:positionH>
          <wp:positionV relativeFrom="paragraph">
            <wp:posOffset>-200025</wp:posOffset>
          </wp:positionV>
          <wp:extent cx="1423670" cy="621030"/>
          <wp:effectExtent l="0" t="0" r="0" b="0"/>
          <wp:wrapNone/>
          <wp:docPr id="12" name="图片 1" descr="D:\1公司信息\2冠中公司\冠中电力-logo\冠中LOGO(英)透明-新2020.6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D:\1公司信息\2冠中公司\冠中电力-logo\冠中LOGO(英)透明-新2020.6.3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358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32"/>
        <w:szCs w:val="32"/>
      </w:rPr>
      <w:t>冠中电力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2B51"/>
    <w:rsid w:val="00012447"/>
    <w:rsid w:val="00024677"/>
    <w:rsid w:val="000342A7"/>
    <w:rsid w:val="00057E09"/>
    <w:rsid w:val="00081B6B"/>
    <w:rsid w:val="00082DC5"/>
    <w:rsid w:val="00084016"/>
    <w:rsid w:val="00092BAA"/>
    <w:rsid w:val="000B4FA8"/>
    <w:rsid w:val="000D048A"/>
    <w:rsid w:val="000D57CE"/>
    <w:rsid w:val="000D7848"/>
    <w:rsid w:val="000F4FC6"/>
    <w:rsid w:val="00100296"/>
    <w:rsid w:val="0011252F"/>
    <w:rsid w:val="001179AC"/>
    <w:rsid w:val="00123714"/>
    <w:rsid w:val="00127ADC"/>
    <w:rsid w:val="0014312E"/>
    <w:rsid w:val="00177694"/>
    <w:rsid w:val="001A3656"/>
    <w:rsid w:val="001B095F"/>
    <w:rsid w:val="001E7F4A"/>
    <w:rsid w:val="002260A6"/>
    <w:rsid w:val="00227C6F"/>
    <w:rsid w:val="00242652"/>
    <w:rsid w:val="002917DD"/>
    <w:rsid w:val="002B53D1"/>
    <w:rsid w:val="002C15C6"/>
    <w:rsid w:val="002C7FB8"/>
    <w:rsid w:val="002F4655"/>
    <w:rsid w:val="003030BE"/>
    <w:rsid w:val="003179DF"/>
    <w:rsid w:val="003314E7"/>
    <w:rsid w:val="0034167D"/>
    <w:rsid w:val="0035779E"/>
    <w:rsid w:val="00375531"/>
    <w:rsid w:val="00377B15"/>
    <w:rsid w:val="003969B1"/>
    <w:rsid w:val="003B341E"/>
    <w:rsid w:val="003D0635"/>
    <w:rsid w:val="003E2F0E"/>
    <w:rsid w:val="003E2FA6"/>
    <w:rsid w:val="003F6134"/>
    <w:rsid w:val="00412FBD"/>
    <w:rsid w:val="0041664D"/>
    <w:rsid w:val="004364D4"/>
    <w:rsid w:val="00480DD3"/>
    <w:rsid w:val="004820FC"/>
    <w:rsid w:val="004E13BE"/>
    <w:rsid w:val="004F14B8"/>
    <w:rsid w:val="00505BBD"/>
    <w:rsid w:val="0051344F"/>
    <w:rsid w:val="00514656"/>
    <w:rsid w:val="0056277B"/>
    <w:rsid w:val="005647E9"/>
    <w:rsid w:val="00585C2C"/>
    <w:rsid w:val="005B242F"/>
    <w:rsid w:val="005C056B"/>
    <w:rsid w:val="0060146F"/>
    <w:rsid w:val="00616C81"/>
    <w:rsid w:val="0062097E"/>
    <w:rsid w:val="0062277D"/>
    <w:rsid w:val="00622AF4"/>
    <w:rsid w:val="00650A30"/>
    <w:rsid w:val="00652B46"/>
    <w:rsid w:val="00666359"/>
    <w:rsid w:val="0067799B"/>
    <w:rsid w:val="006E5E86"/>
    <w:rsid w:val="00714F67"/>
    <w:rsid w:val="0071643E"/>
    <w:rsid w:val="00741069"/>
    <w:rsid w:val="00741B9F"/>
    <w:rsid w:val="007440D1"/>
    <w:rsid w:val="00744B45"/>
    <w:rsid w:val="00795188"/>
    <w:rsid w:val="007A2FD0"/>
    <w:rsid w:val="007A68D8"/>
    <w:rsid w:val="007B1F0D"/>
    <w:rsid w:val="007C2B51"/>
    <w:rsid w:val="007E6833"/>
    <w:rsid w:val="007F2CE1"/>
    <w:rsid w:val="008475C3"/>
    <w:rsid w:val="00850E57"/>
    <w:rsid w:val="00852777"/>
    <w:rsid w:val="00863A1A"/>
    <w:rsid w:val="00874780"/>
    <w:rsid w:val="008827ED"/>
    <w:rsid w:val="008850CB"/>
    <w:rsid w:val="00896D6B"/>
    <w:rsid w:val="008A3BCB"/>
    <w:rsid w:val="008E771A"/>
    <w:rsid w:val="00933C85"/>
    <w:rsid w:val="00956A41"/>
    <w:rsid w:val="0097498D"/>
    <w:rsid w:val="009826FD"/>
    <w:rsid w:val="009D6D7E"/>
    <w:rsid w:val="009D7386"/>
    <w:rsid w:val="009E3C94"/>
    <w:rsid w:val="00A23464"/>
    <w:rsid w:val="00A517C2"/>
    <w:rsid w:val="00A9427D"/>
    <w:rsid w:val="00AD1076"/>
    <w:rsid w:val="00AF5CEA"/>
    <w:rsid w:val="00B9789B"/>
    <w:rsid w:val="00BA27D4"/>
    <w:rsid w:val="00BE2AEB"/>
    <w:rsid w:val="00BF5114"/>
    <w:rsid w:val="00C006E8"/>
    <w:rsid w:val="00C11D81"/>
    <w:rsid w:val="00C137F2"/>
    <w:rsid w:val="00C169AE"/>
    <w:rsid w:val="00C278C2"/>
    <w:rsid w:val="00C523DD"/>
    <w:rsid w:val="00C53A0B"/>
    <w:rsid w:val="00C8480E"/>
    <w:rsid w:val="00C944B7"/>
    <w:rsid w:val="00CA160D"/>
    <w:rsid w:val="00CD76FC"/>
    <w:rsid w:val="00D17F30"/>
    <w:rsid w:val="00D361A7"/>
    <w:rsid w:val="00D5273E"/>
    <w:rsid w:val="00D55624"/>
    <w:rsid w:val="00D56F65"/>
    <w:rsid w:val="00D57CEF"/>
    <w:rsid w:val="00D635B0"/>
    <w:rsid w:val="00D7217C"/>
    <w:rsid w:val="00D73EC2"/>
    <w:rsid w:val="00DB7473"/>
    <w:rsid w:val="00DB7AC8"/>
    <w:rsid w:val="00DC311F"/>
    <w:rsid w:val="00DF3FF4"/>
    <w:rsid w:val="00E35084"/>
    <w:rsid w:val="00E67A84"/>
    <w:rsid w:val="00EA63E3"/>
    <w:rsid w:val="00EB160B"/>
    <w:rsid w:val="00ED36D4"/>
    <w:rsid w:val="00EF135D"/>
    <w:rsid w:val="00EF681D"/>
    <w:rsid w:val="00F3691D"/>
    <w:rsid w:val="00F369F5"/>
    <w:rsid w:val="00F429CF"/>
    <w:rsid w:val="00F61811"/>
    <w:rsid w:val="00FA1960"/>
    <w:rsid w:val="00FB130D"/>
    <w:rsid w:val="00FB4046"/>
    <w:rsid w:val="00FB6698"/>
    <w:rsid w:val="00FE3AD5"/>
    <w:rsid w:val="00FE6D78"/>
    <w:rsid w:val="03386943"/>
    <w:rsid w:val="1C107DEE"/>
    <w:rsid w:val="2E06217C"/>
    <w:rsid w:val="2E9C1D0D"/>
    <w:rsid w:val="351B22FB"/>
    <w:rsid w:val="39B0325F"/>
    <w:rsid w:val="46D64166"/>
    <w:rsid w:val="609D404A"/>
    <w:rsid w:val="637C6260"/>
    <w:rsid w:val="7CD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1"/>
    <w:pPr>
      <w:autoSpaceDE w:val="0"/>
      <w:autoSpaceDN w:val="0"/>
      <w:ind w:left="1334"/>
      <w:jc w:val="left"/>
      <w:outlineLvl w:val="1"/>
    </w:pPr>
    <w:rPr>
      <w:rFonts w:ascii="SimHei" w:hAnsi="SimHei" w:eastAsia="SimHei" w:cs="SimHei"/>
      <w:kern w:val="0"/>
      <w:sz w:val="22"/>
      <w:lang w:eastAsia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semiHidden/>
    <w:qFormat/>
    <w:uiPriority w:val="1"/>
    <w:rPr>
      <w:rFonts w:ascii="SimHei" w:hAnsi="SimHei" w:eastAsia="SimHei" w:cs="SimHei"/>
      <w:kern w:val="0"/>
      <w:sz w:val="22"/>
      <w:lang w:eastAsia="en-US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chart" Target="charts/chart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36164;&#26009;&#19968;&#35272;\2021-3-18%20&#25196;&#24030;&#20896;&#20013;&#32593;&#31449;&#29992;&#36164;&#26009;\&#20135;&#21697;&#29305;&#28857;%20&#21457;&#30005;&#37327;+&#26354;&#32447;&#22270;&#30456;&#20851;\&#21457;&#30005;&#37327;+&#26354;&#32447;&#22270;&#25130;&#22270;&#30456;&#20851;%202021-3-18\&#30330;&#38651;&#37327;&#12289;&#25910;&#30410;&#34920;%20&#26085;&#25991;&#29256;%202021-3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320" b="1" i="0" u="none" strike="noStrike" kern="1200" baseline="0">
                <a:solidFill>
                  <a:schemeClr val="tx1"/>
                </a:solidFill>
                <a:latin typeface="SimSun" panose="02010600030101010101" charset="-122"/>
                <a:ea typeface="SimSun" panose="02010600030101010101" charset="-122"/>
                <a:cs typeface="SimSun" panose="02010600030101010101" charset="-122"/>
                <a:sym typeface="SimSun" panose="02010600030101010101" charset="-122"/>
              </a:defRPr>
            </a:pPr>
            <a:r>
              <a:rPr lang="en-US" altLang="zh-CN" sz="1320" b="1">
                <a:solidFill>
                  <a:schemeClr val="tx1"/>
                </a:solidFill>
                <a:latin typeface="SimSun" panose="02010600030101010101" charset="-122"/>
                <a:ea typeface="SimSun" panose="02010600030101010101" charset="-122"/>
                <a:cs typeface="SimSun" panose="02010600030101010101" charset="-122"/>
                <a:sym typeface="SimSun" panose="02010600030101010101" charset="-122"/>
              </a:rPr>
              <a:t>GZW-19.8K </a:t>
            </a:r>
            <a:r>
              <a:rPr altLang="en-US" sz="1320" b="1">
                <a:solidFill>
                  <a:schemeClr val="tx1"/>
                </a:solidFill>
                <a:latin typeface="SimSun" panose="02010600030101010101" charset="-122"/>
                <a:ea typeface="SimSun" panose="02010600030101010101" charset="-122"/>
                <a:cs typeface="SimSun" panose="02010600030101010101" charset="-122"/>
                <a:sym typeface="SimSun" panose="02010600030101010101" charset="-122"/>
              </a:rPr>
              <a:t>年发电量曲线</a:t>
            </a:r>
            <a:endParaRPr lang="ja-JP" altLang="en-US" sz="1320" b="1">
              <a:solidFill>
                <a:schemeClr val="tx1"/>
              </a:solidFill>
              <a:latin typeface="SimSun" panose="02010600030101010101" charset="-122"/>
              <a:ea typeface="SimSun" panose="02010600030101010101" charset="-122"/>
              <a:cs typeface="SimSun" panose="02010600030101010101" charset="-122"/>
              <a:sym typeface="SimSun" panose="02010600030101010101" charset="-122"/>
            </a:endParaRPr>
          </a:p>
        </c:rich>
      </c:tx>
      <c:layout>
        <c:manualLayout>
          <c:xMode val="edge"/>
          <c:yMode val="edge"/>
          <c:x val="0.310688656527773"/>
          <c:y val="0.039559265081385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5186461067367"/>
          <c:y val="0.178252405949256"/>
          <c:w val="0.735178258967629"/>
          <c:h val="0.611188028579761"/>
        </c:manualLayout>
      </c:layout>
      <c:scatterChart>
        <c:scatterStyle val="smooth"/>
        <c:varyColors val="0"/>
        <c:ser>
          <c:idx val="0"/>
          <c:order val="0"/>
          <c:tx>
            <c:strRef>
              <c:f>'[発電量、收益表 日文版 2021-3-17.xlsx]19.8K系列年发电量曲线图'!$C$3</c:f>
              <c:strCache>
                <c:ptCount val="1"/>
                <c:pt idx="0">
                  <c:v>年推算发电量（kWh）</c:v>
                </c:pt>
              </c:strCache>
            </c:strRef>
          </c:tx>
          <c:marker>
            <c:symbol val="none"/>
          </c:marker>
          <c:dLbls>
            <c:delete val="1"/>
          </c:dLbls>
          <c:xVal>
            <c:numRef>
              <c:f>'[発電量、收益表 日文版 2021-3-17.xlsx]19.8K系列年发电量曲线图'!$B$4:$B$14</c:f>
              <c:numCache>
                <c:formatCode>General</c:formatCode>
                <c:ptCount val="11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  <c:pt idx="9">
                  <c:v>8.5</c:v>
                </c:pt>
                <c:pt idx="10">
                  <c:v>9</c:v>
                </c:pt>
              </c:numCache>
            </c:numRef>
          </c:xVal>
          <c:yVal>
            <c:numRef>
              <c:f>'[発電量、收益表 日文版 2021-3-17.xlsx]19.8K系列年发电量曲线图'!$C$4:$C$14</c:f>
              <c:numCache>
                <c:formatCode>0_ </c:formatCode>
                <c:ptCount val="11"/>
                <c:pt idx="0">
                  <c:v>38200</c:v>
                </c:pt>
                <c:pt idx="1">
                  <c:v>46100</c:v>
                </c:pt>
                <c:pt idx="2">
                  <c:v>54500</c:v>
                </c:pt>
                <c:pt idx="3">
                  <c:v>65000</c:v>
                </c:pt>
                <c:pt idx="4">
                  <c:v>75200</c:v>
                </c:pt>
                <c:pt idx="5">
                  <c:v>86700</c:v>
                </c:pt>
                <c:pt idx="6">
                  <c:v>98100</c:v>
                </c:pt>
                <c:pt idx="7">
                  <c:v>110500</c:v>
                </c:pt>
                <c:pt idx="8">
                  <c:v>123900</c:v>
                </c:pt>
                <c:pt idx="9">
                  <c:v>137100</c:v>
                </c:pt>
                <c:pt idx="10">
                  <c:v>152812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597760"/>
        <c:axId val="170648704"/>
      </c:scatterChart>
      <c:valAx>
        <c:axId val="170597760"/>
        <c:scaling>
          <c:orientation val="minMax"/>
          <c:max val="9"/>
          <c:min val="4"/>
        </c:scaling>
        <c:delete val="0"/>
        <c:axPos val="b"/>
        <c:majorGridlines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defRPr>
                </a:pPr>
                <a:r>
                  <a:rPr sz="1100" b="0">
                    <a:solidFill>
                      <a:schemeClr val="tx1"/>
                    </a:solidFill>
                    <a:latin typeface="ＭＳ Ｐゴシック" panose="020B0600070205080204" charset="-128"/>
                    <a:ea typeface="ＭＳ Ｐゴシック" panose="020B0600070205080204" charset="-128"/>
                    <a:cs typeface="ＭＳ Ｐゴシック" panose="020B0600070205080204" charset="-128"/>
                    <a:sym typeface="ＭＳ 明朝" panose="02020609040205080304" charset="-128"/>
                  </a:rPr>
                  <a:t>年平均风速（</a:t>
                </a:r>
                <a:r>
                  <a:rPr lang="en-US" altLang="zh-CN" sz="1100" b="0">
                    <a:solidFill>
                      <a:schemeClr val="tx1"/>
                    </a:solidFill>
                    <a:latin typeface="ＭＳ Ｐゴシック" panose="020B0600070205080204" charset="-128"/>
                    <a:ea typeface="ＭＳ Ｐゴシック" panose="020B0600070205080204" charset="-128"/>
                    <a:cs typeface="ＭＳ Ｐゴシック" panose="020B0600070205080204" charset="-128"/>
                    <a:sym typeface="ＭＳ 明朝" panose="02020609040205080304" charset="-128"/>
                  </a:rPr>
                  <a:t>m/s</a:t>
                </a:r>
                <a:r>
                  <a:rPr sz="1100" b="0">
                    <a:solidFill>
                      <a:schemeClr val="tx1"/>
                    </a:solidFill>
                    <a:latin typeface="ＭＳ Ｐゴシック" panose="020B0600070205080204" charset="-128"/>
                    <a:ea typeface="ＭＳ Ｐゴシック" panose="020B0600070205080204" charset="-128"/>
                    <a:cs typeface="ＭＳ Ｐゴシック" panose="020B0600070205080204" charset="-128"/>
                    <a:sym typeface="ＭＳ 明朝" panose="02020609040205080304" charset="-128"/>
                  </a:rPr>
                  <a:t>）</a:t>
                </a:r>
                <a:endParaRPr sz="1100" b="0">
                  <a:solidFill>
                    <a:schemeClr val="tx1"/>
                  </a:solidFill>
                  <a:latin typeface="ＭＳ Ｐゴシック" panose="020B0600070205080204" charset="-128"/>
                  <a:ea typeface="ＭＳ Ｐゴシック" panose="020B0600070205080204" charset="-128"/>
                  <a:cs typeface="ＭＳ Ｐゴシック" panose="020B0600070205080204" charset="-128"/>
                  <a:sym typeface="ＭＳ 明朝" panose="02020609040205080304" charset="-128"/>
                </a:endParaRPr>
              </a:p>
            </c:rich>
          </c:tx>
          <c:layout>
            <c:manualLayout>
              <c:xMode val="edge"/>
              <c:yMode val="edge"/>
              <c:x val="0.680042383629234"/>
              <c:y val="0.8883400824163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  <c:crossAx val="170648704"/>
        <c:crosses val="autoZero"/>
        <c:crossBetween val="midCat"/>
        <c:majorUnit val="0.5"/>
        <c:minorUnit val="0.4"/>
      </c:valAx>
      <c:valAx>
        <c:axId val="170648704"/>
        <c:scaling>
          <c:orientation val="minMax"/>
          <c:max val="170000"/>
          <c:min val="30000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defRPr>
                </a:pPr>
                <a:r>
                  <a:rPr altLang="ja-JP" sz="1100" b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年发电量</a:t>
                </a:r>
                <a:r>
                  <a:rPr sz="1100" b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（</a:t>
                </a:r>
                <a:r>
                  <a:rPr lang="en-US" altLang="zh-CN" sz="1100" b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kWh</a:t>
                </a:r>
                <a:r>
                  <a:rPr sz="1100" b="0">
                    <a:solidFill>
                      <a:schemeClr val="tx1"/>
                    </a:solidFill>
                    <a:latin typeface="ＭＳ 明朝" panose="02020609040205080304" charset="-128"/>
                    <a:ea typeface="ＭＳ 明朝" panose="02020609040205080304" charset="-128"/>
                    <a:cs typeface="ＭＳ 明朝" panose="02020609040205080304" charset="-128"/>
                    <a:sym typeface="ＭＳ 明朝" panose="02020609040205080304" charset="-128"/>
                  </a:rPr>
                  <a:t>）</a:t>
                </a:r>
                <a:endParaRPr sz="1100" b="0">
                  <a:solidFill>
                    <a:schemeClr val="tx1"/>
                  </a:solidFill>
                  <a:latin typeface="ＭＳ 明朝" panose="02020609040205080304" charset="-128"/>
                  <a:ea typeface="ＭＳ 明朝" panose="02020609040205080304" charset="-128"/>
                  <a:cs typeface="ＭＳ 明朝" panose="02020609040205080304" charset="-128"/>
                  <a:sym typeface="ＭＳ 明朝" panose="02020609040205080304" charset="-128"/>
                </a:endParaRPr>
              </a:p>
            </c:rich>
          </c:tx>
          <c:layout>
            <c:manualLayout>
              <c:xMode val="edge"/>
              <c:yMode val="edge"/>
              <c:x val="0.0347564768334556"/>
              <c:y val="0.233846420239136"/>
            </c:manualLayout>
          </c:layout>
          <c:overlay val="0"/>
        </c:title>
        <c:numFmt formatCode="#,##0_ 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Arial" panose="020B0604020202020204" pitchFamily="7" charset="0"/>
                <a:ea typeface="Arial" panose="020B0604020202020204" pitchFamily="7" charset="0"/>
                <a:cs typeface="Arial" panose="020B0604020202020204" pitchFamily="7" charset="0"/>
                <a:sym typeface="Arial" panose="020B0604020202020204" pitchFamily="7" charset="0"/>
              </a:defRPr>
            </a:pPr>
          </a:p>
        </c:txPr>
        <c:crossAx val="170597760"/>
        <c:crosses val="autoZero"/>
        <c:crossBetween val="midCat"/>
        <c:majorUnit val="20000"/>
      </c:valAx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lang="zh-CN" sz="1100" b="0">
          <a:solidFill>
            <a:schemeClr val="tx1"/>
          </a:solidFill>
          <a:latin typeface="SimSun" panose="02010600030101010101" charset="-122"/>
          <a:ea typeface="SimSun" panose="02010600030101010101" charset="-122"/>
          <a:cs typeface="SimSun" panose="02010600030101010101" charset="-122"/>
          <a:sym typeface="SimSun" panose="02010600030101010101" charset="-122"/>
        </a:defRPr>
      </a:pPr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0.346354166666667</cdr:x>
      <cdr:y>2.52454417952314</cdr:y>
    </cdr:from>
    <cdr:to>
      <cdr:x>0.596354166666667</cdr:x>
      <cdr:y>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1266825" y="2716530"/>
          <a:ext cx="914400" cy="414147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non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endParaRPr lang="zh-CN" altLang="en-US" sz="1100"/>
        </a:p>
      </cdr:txBody>
    </cdr:sp>
  </cdr:relSizeAnchor>
  <cdr:relSizeAnchor xmlns:cdr="http://schemas.openxmlformats.org/drawingml/2006/chartDrawing">
    <cdr:from>
      <cdr:x>0</cdr:x>
      <cdr:y>2.74100046750818</cdr:y>
    </cdr:from>
    <cdr:to>
      <cdr:x>0.0833333333333333</cdr:x>
      <cdr:y>1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 rot="16200000">
          <a:off x="-2212340" y="4928870"/>
          <a:ext cx="4729480" cy="3048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non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/>
            <a:t>年发电量（</a:t>
          </a:r>
          <a:r>
            <a:rPr lang="en-US" altLang="zh-CN" sz="1100"/>
            <a:t>kwh</a:t>
          </a:r>
          <a:r>
            <a:rPr lang="zh-CN" altLang="en-US" sz="1100"/>
            <a:t>）</a:t>
          </a:r>
          <a:endParaRPr lang="zh-CN" altLang="en-US" sz="1100"/>
        </a:p>
      </cdr:txBody>
    </cdr:sp>
  </cdr:relSizeAnchor>
  <cdr:relSizeAnchor xmlns:cdr="http://schemas.openxmlformats.org/drawingml/2006/chartDrawing">
    <cdr:from>
      <cdr:x>0.591145833333333</cdr:x>
      <cdr:y>3.25035063113604</cdr:y>
    </cdr:from>
    <cdr:to>
      <cdr:x>0.986979166666667</cdr:x>
      <cdr:y>1</cdr:y>
    </cdr:to>
    <cdr:sp>
      <cdr:nvSpPr>
        <cdr:cNvPr id="4" name="矩形 3"/>
        <cdr:cNvSpPr/>
      </cdr:nvSpPr>
      <cdr:spPr xmlns:a="http://schemas.openxmlformats.org/drawingml/2006/main">
        <a:xfrm xmlns:a="http://schemas.openxmlformats.org/drawingml/2006/main">
          <a:off x="2162175" y="2716530"/>
          <a:ext cx="1447800" cy="6113145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non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/>
            <a:t>年平均风速（</a:t>
          </a:r>
          <a:r>
            <a:rPr lang="en-US" altLang="zh-CN" sz="1100"/>
            <a:t>m/s</a:t>
          </a:r>
          <a:r>
            <a:rPr lang="zh-CN" altLang="en-US" sz="1100"/>
            <a:t>）</a:t>
          </a:r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240</Words>
  <Characters>1374</Characters>
  <Lines>11</Lines>
  <Paragraphs>3</Paragraphs>
  <TotalTime>0</TotalTime>
  <ScaleCrop>false</ScaleCrop>
  <LinksUpToDate>false</LinksUpToDate>
  <CharactersWithSpaces>1611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2017-12-19T09:45:00Z</dcterms:created>
  <dc:creator>Mason</dc:creator>
  <cp:lastModifiedBy>未来天地宽</cp:lastModifiedBy>
  <dcterms:modified xsi:type="dcterms:W3CDTF">2021-08-09T09:38:48Z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B8E2EF7977FE42D1BED289D134BD4983</vt:lpwstr>
  </property>
</Properties>
</file>